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4A4B6" w14:textId="23C5D697" w:rsidR="00543D38" w:rsidRPr="00543D38" w:rsidRDefault="00E5482F" w:rsidP="00543D38">
      <w:pPr>
        <w:tabs>
          <w:tab w:val="left" w:pos="1701"/>
          <w:tab w:val="right" w:pos="9639"/>
        </w:tabs>
        <w:spacing w:after="60"/>
        <w:rPr>
          <w:b/>
          <w:sz w:val="32"/>
          <w:szCs w:val="32"/>
          <w:highlight w:val="yellow"/>
        </w:rPr>
      </w:pPr>
      <w:bookmarkStart w:id="0" w:name="_GoBack"/>
      <w:bookmarkEnd w:id="0"/>
      <w:r w:rsidRPr="00E5482F">
        <w:rPr>
          <w:b/>
          <w:sz w:val="24"/>
        </w:rPr>
        <w:t>3GPP TSG-RAN WG2#103bis</w:t>
      </w:r>
      <w:r w:rsidR="00543D38" w:rsidRPr="00543D38">
        <w:rPr>
          <w:b/>
          <w:sz w:val="24"/>
        </w:rPr>
        <w:tab/>
      </w:r>
      <w:r w:rsidR="00543D38" w:rsidRPr="00543D38">
        <w:rPr>
          <w:b/>
          <w:sz w:val="32"/>
          <w:szCs w:val="32"/>
        </w:rPr>
        <w:t xml:space="preserve">Tdoc </w:t>
      </w:r>
      <w:r w:rsidR="003B0B15">
        <w:rPr>
          <w:b/>
          <w:sz w:val="32"/>
          <w:szCs w:val="32"/>
        </w:rPr>
        <w:t>R2-1814094</w:t>
      </w:r>
    </w:p>
    <w:p w14:paraId="257F8906" w14:textId="6C9A13EF" w:rsidR="00543D38" w:rsidRPr="00543D38" w:rsidRDefault="00E5482F" w:rsidP="00543D38">
      <w:pPr>
        <w:tabs>
          <w:tab w:val="left" w:pos="1701"/>
          <w:tab w:val="right" w:pos="9639"/>
        </w:tabs>
        <w:spacing w:after="240"/>
        <w:rPr>
          <w:b/>
          <w:sz w:val="24"/>
        </w:rPr>
      </w:pPr>
      <w:r w:rsidRPr="00E5482F">
        <w:rPr>
          <w:b/>
          <w:sz w:val="24"/>
        </w:rPr>
        <w:t>Chengdu, China, 8</w:t>
      </w:r>
      <w:r w:rsidRPr="00E5482F">
        <w:rPr>
          <w:b/>
          <w:sz w:val="24"/>
          <w:vertAlign w:val="superscript"/>
        </w:rPr>
        <w:t>th</w:t>
      </w:r>
      <w:r w:rsidRPr="00E5482F">
        <w:rPr>
          <w:b/>
          <w:sz w:val="24"/>
        </w:rPr>
        <w:t xml:space="preserve"> – 12</w:t>
      </w:r>
      <w:r w:rsidRPr="00E5482F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5482F">
        <w:rPr>
          <w:b/>
          <w:sz w:val="24"/>
        </w:rPr>
        <w:t>October 2018</w:t>
      </w:r>
      <w:r w:rsidR="00543D38">
        <w:rPr>
          <w:b/>
          <w:sz w:val="24"/>
        </w:rPr>
        <w:tab/>
      </w:r>
    </w:p>
    <w:p w14:paraId="30288D36" w14:textId="77777777" w:rsidR="00E90E49" w:rsidRPr="00CE0424" w:rsidRDefault="00E90E49" w:rsidP="00357380">
      <w:pPr>
        <w:pStyle w:val="3GPPHeader"/>
      </w:pPr>
    </w:p>
    <w:p w14:paraId="1EBE0A8A" w14:textId="6390CEA0" w:rsidR="00E90E49" w:rsidRPr="003B0B15" w:rsidRDefault="00E90E49" w:rsidP="00311702">
      <w:pPr>
        <w:pStyle w:val="3GPPHeader"/>
        <w:rPr>
          <w:sz w:val="22"/>
          <w:szCs w:val="22"/>
          <w:lang w:val="en-US"/>
        </w:rPr>
      </w:pPr>
      <w:r w:rsidRPr="003B0B15">
        <w:rPr>
          <w:sz w:val="22"/>
          <w:szCs w:val="22"/>
          <w:lang w:val="en-US"/>
        </w:rPr>
        <w:t>Agenda Item:</w:t>
      </w:r>
      <w:r w:rsidRPr="003B0B15">
        <w:rPr>
          <w:sz w:val="22"/>
          <w:szCs w:val="22"/>
          <w:lang w:val="en-US"/>
        </w:rPr>
        <w:tab/>
      </w:r>
      <w:r w:rsidR="003B0B15" w:rsidRPr="003B0B15">
        <w:rPr>
          <w:sz w:val="22"/>
          <w:szCs w:val="22"/>
          <w:lang w:val="en-US"/>
        </w:rPr>
        <w:t>1</w:t>
      </w:r>
      <w:r w:rsidR="003B0B15">
        <w:rPr>
          <w:sz w:val="22"/>
          <w:szCs w:val="22"/>
          <w:lang w:val="en-US"/>
        </w:rPr>
        <w:t>0.5.1</w:t>
      </w:r>
    </w:p>
    <w:p w14:paraId="7BA7134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39B0E50" w14:textId="58CE73D7" w:rsidR="00E90E49" w:rsidRPr="00CE0424" w:rsidRDefault="003D3C45" w:rsidP="00311702">
      <w:pPr>
        <w:pStyle w:val="3GPPHeader"/>
        <w:rPr>
          <w:sz w:val="22"/>
          <w:szCs w:val="22"/>
        </w:rPr>
      </w:pPr>
      <w:r w:rsidRPr="0003501F">
        <w:rPr>
          <w:sz w:val="22"/>
          <w:szCs w:val="22"/>
        </w:rPr>
        <w:t>Title:</w:t>
      </w:r>
      <w:r w:rsidR="00E90E49" w:rsidRPr="0003501F">
        <w:rPr>
          <w:sz w:val="22"/>
          <w:szCs w:val="22"/>
        </w:rPr>
        <w:tab/>
      </w:r>
      <w:r w:rsidR="00205311">
        <w:rPr>
          <w:sz w:val="22"/>
          <w:szCs w:val="22"/>
        </w:rPr>
        <w:t xml:space="preserve">Security configuration </w:t>
      </w:r>
      <w:r w:rsidR="00590014">
        <w:rPr>
          <w:sz w:val="22"/>
          <w:szCs w:val="22"/>
        </w:rPr>
        <w:t>for eLTE and</w:t>
      </w:r>
      <w:r w:rsidR="00205311">
        <w:rPr>
          <w:sz w:val="22"/>
          <w:szCs w:val="22"/>
        </w:rPr>
        <w:t xml:space="preserve"> MR-DC</w:t>
      </w:r>
    </w:p>
    <w:p w14:paraId="7E810194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840A3">
        <w:rPr>
          <w:sz w:val="22"/>
          <w:szCs w:val="22"/>
        </w:rPr>
        <w:t>Discussion, Decision</w:t>
      </w:r>
    </w:p>
    <w:p w14:paraId="0B1687F5" w14:textId="77777777" w:rsidR="00C24345" w:rsidRDefault="00E90E49" w:rsidP="00A2052C">
      <w:pPr>
        <w:pStyle w:val="Heading1"/>
      </w:pPr>
      <w:r w:rsidRPr="00CE0424">
        <w:t>Introduction</w:t>
      </w:r>
    </w:p>
    <w:p w14:paraId="7A6A85D0" w14:textId="678D3E87" w:rsidR="00A2052C" w:rsidRDefault="00205311" w:rsidP="00A2052C">
      <w:r>
        <w:t xml:space="preserve">During the email discussion 103#51, it was </w:t>
      </w:r>
      <w:r w:rsidR="00BF20FD">
        <w:t>concluded</w:t>
      </w:r>
      <w:r>
        <w:t xml:space="preserve"> that the K</w:t>
      </w:r>
      <w:r w:rsidRPr="00205311">
        <w:rPr>
          <w:vertAlign w:val="subscript"/>
        </w:rPr>
        <w:t>SN</w:t>
      </w:r>
      <w:r>
        <w:t xml:space="preserve"> </w:t>
      </w:r>
      <w:r w:rsidR="00BF20FD">
        <w:t>will</w:t>
      </w:r>
      <w:r>
        <w:t xml:space="preserve"> be derived based on the sk-Counter as in LTE. However, during RAN2#102, it was agreed that for E-UTRA connected to 5GC, the security algorithms would be configured using LTE code points:</w:t>
      </w:r>
    </w:p>
    <w:p w14:paraId="6EC245AE" w14:textId="2DF8229E" w:rsidR="00205311" w:rsidRDefault="00205311" w:rsidP="00A2052C"/>
    <w:p w14:paraId="0DEA14C1" w14:textId="77777777" w:rsidR="00205311" w:rsidRDefault="00205311" w:rsidP="002053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682AF5CB" w14:textId="77777777" w:rsidR="00205311" w:rsidRDefault="00205311" w:rsidP="002053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For eLTE system, during configuration of NR PDCP for any RB using NR RadioBearerConfig IE, do not use Optional NR securityAlgorithmConfig IE having NR only code points.</w:t>
      </w:r>
    </w:p>
    <w:p w14:paraId="53246A1A" w14:textId="77777777" w:rsidR="00205311" w:rsidRDefault="00205311" w:rsidP="002053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For eLTE AS Security Algorithms configuration use LTE SMC Signalling with LTE Code Points and during HO Signalling use LTE securityConfigHO IE with LTE Code Points.</w:t>
      </w:r>
    </w:p>
    <w:p w14:paraId="37073CDD" w14:textId="77777777" w:rsidR="00205311" w:rsidRDefault="00205311" w:rsidP="002053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NR code points would not be extended, in future, to indicate any LTE only algorithms</w:t>
      </w:r>
    </w:p>
    <w:p w14:paraId="2354CB5C" w14:textId="0CE70E11" w:rsidR="00205311" w:rsidRDefault="00205311" w:rsidP="00A2052C"/>
    <w:p w14:paraId="17135787" w14:textId="30813F54" w:rsidR="00205311" w:rsidRPr="00A2052C" w:rsidRDefault="00205311" w:rsidP="00A2052C">
      <w:r>
        <w:t>This contribution discuss the implication of these agreements in relation to MR-DC.</w:t>
      </w:r>
      <w:r w:rsidR="00B40803">
        <w:t xml:space="preserve"> An accompanying CR is provided in </w:t>
      </w:r>
      <w:r w:rsidR="00BF07A6" w:rsidRPr="00BF07A6">
        <w:t>R2-1814095</w:t>
      </w:r>
      <w:r w:rsidR="00BF07A6">
        <w:t>.</w:t>
      </w:r>
    </w:p>
    <w:p w14:paraId="639C6529" w14:textId="30FF29D7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7F4F00D" w14:textId="01FC4EC3" w:rsidR="006C6EC0" w:rsidRPr="006C6EC0" w:rsidRDefault="006C6EC0" w:rsidP="006C6EC0">
      <w:pPr>
        <w:pStyle w:val="Heading2"/>
      </w:pPr>
      <w:r>
        <w:t>Derivation of secondary key</w:t>
      </w:r>
    </w:p>
    <w:p w14:paraId="2BA7FB5B" w14:textId="0D620BEE" w:rsidR="005A7B54" w:rsidRDefault="00460F01" w:rsidP="005A7B54">
      <w:r>
        <w:t xml:space="preserve">Similar to </w:t>
      </w:r>
      <w:r w:rsidR="00E87B7A">
        <w:t>EN-DC, the derivation of the security keys for the SN in MR-DC will be based on the master node key (K</w:t>
      </w:r>
      <w:r w:rsidR="00E87B7A" w:rsidRPr="00E87B7A">
        <w:rPr>
          <w:vertAlign w:val="subscript"/>
        </w:rPr>
        <w:t>eNB</w:t>
      </w:r>
      <w:r w:rsidR="00E87B7A">
        <w:t xml:space="preserve"> or K</w:t>
      </w:r>
      <w:r w:rsidR="00E87B7A" w:rsidRPr="00E87B7A">
        <w:rPr>
          <w:vertAlign w:val="subscript"/>
        </w:rPr>
        <w:t>gNB</w:t>
      </w:r>
      <w:r w:rsidR="00E87B7A">
        <w:t>) and a 16 bit counter called sk-Counter</w:t>
      </w:r>
      <w:r w:rsidR="00D22374">
        <w:t xml:space="preserve"> (similar to the </w:t>
      </w:r>
      <w:r w:rsidR="00D22374" w:rsidRPr="00D22374">
        <w:rPr>
          <w:i/>
        </w:rPr>
        <w:t>scg-Counter</w:t>
      </w:r>
      <w:r w:rsidR="00D22374">
        <w:t xml:space="preserve"> used for LTE DC)</w:t>
      </w:r>
      <w:r w:rsidR="00E87B7A">
        <w:t>.</w:t>
      </w:r>
      <w:r w:rsidR="002F7059">
        <w:t xml:space="preserve"> As the </w:t>
      </w:r>
      <w:r w:rsidR="006220F5">
        <w:t xml:space="preserve">key refresh material for the master node key were placed in a IE, with mandatory fields for e.g. NCC and </w:t>
      </w:r>
      <w:r w:rsidR="006220F5" w:rsidRPr="006220F5">
        <w:rPr>
          <w:i/>
        </w:rPr>
        <w:t>keySetChangeIndicator</w:t>
      </w:r>
      <w:r w:rsidR="006220F5">
        <w:t xml:space="preserve">, the </w:t>
      </w:r>
      <w:r w:rsidR="006220F5" w:rsidRPr="006220F5">
        <w:rPr>
          <w:i/>
        </w:rPr>
        <w:t>sk-Counter</w:t>
      </w:r>
      <w:r w:rsidR="006220F5">
        <w:t xml:space="preserve">, must be placed elsewhere. In EN-DC, the sk-Counter is placed in the top level of the </w:t>
      </w:r>
      <w:r w:rsidR="006220F5">
        <w:rPr>
          <w:i/>
        </w:rPr>
        <w:t>RRCConnectionReconfiguration</w:t>
      </w:r>
      <w:r w:rsidR="006220F5">
        <w:t xml:space="preserve"> message and a similar approach should be applied in NR for MR-DC.</w:t>
      </w:r>
    </w:p>
    <w:p w14:paraId="34D111FD" w14:textId="46BA553D" w:rsidR="006220F5" w:rsidRPr="006220F5" w:rsidRDefault="006220F5" w:rsidP="006220F5">
      <w:pPr>
        <w:pStyle w:val="Proposal"/>
      </w:pPr>
      <w:bookmarkStart w:id="2" w:name="_Toc525208253"/>
      <w:bookmarkStart w:id="3" w:name="_Toc525208912"/>
      <w:bookmarkStart w:id="4" w:name="_Toc525556013"/>
      <w:bookmarkStart w:id="5" w:name="_Toc525760743"/>
      <w:bookmarkStart w:id="6" w:name="_Toc525825274"/>
      <w:r>
        <w:t>The sk-Counter</w:t>
      </w:r>
      <w:r w:rsidR="00D8386A">
        <w:t>,</w:t>
      </w:r>
      <w:r>
        <w:t xml:space="preserve"> </w:t>
      </w:r>
      <w:r w:rsidR="00D8386A">
        <w:t xml:space="preserve">used </w:t>
      </w:r>
      <w:r>
        <w:t>for derivation of the K</w:t>
      </w:r>
      <w:r w:rsidRPr="006220F5">
        <w:rPr>
          <w:vertAlign w:val="subscript"/>
        </w:rPr>
        <w:t>SN</w:t>
      </w:r>
      <w:r>
        <w:t xml:space="preserve"> </w:t>
      </w:r>
      <w:r w:rsidR="00AA5697">
        <w:t xml:space="preserve">for NR-DC and NE-DC </w:t>
      </w:r>
      <w:r>
        <w:t xml:space="preserve">is placed in the </w:t>
      </w:r>
      <w:r w:rsidRPr="006220F5">
        <w:rPr>
          <w:i/>
        </w:rPr>
        <w:t>RRCReconfiguration</w:t>
      </w:r>
      <w:r>
        <w:t xml:space="preserve"> message</w:t>
      </w:r>
      <w:r w:rsidR="00D8386A">
        <w:t>.</w:t>
      </w:r>
      <w:bookmarkEnd w:id="2"/>
      <w:bookmarkEnd w:id="3"/>
      <w:bookmarkEnd w:id="4"/>
      <w:bookmarkEnd w:id="5"/>
      <w:bookmarkEnd w:id="6"/>
    </w:p>
    <w:p w14:paraId="6F3BECD3" w14:textId="10F4521D" w:rsidR="005A7B54" w:rsidRDefault="00D22374" w:rsidP="005A7B54">
      <w:r>
        <w:t>In LTE DC, the derivation of the S-K</w:t>
      </w:r>
      <w:r w:rsidRPr="00D22374">
        <w:rPr>
          <w:vertAlign w:val="subscript"/>
        </w:rPr>
        <w:t>eNB</w:t>
      </w:r>
      <w:r>
        <w:t xml:space="preserve"> and the algorithm keys is performed in the SCG reconfiguration section. However, for EN-DC, the corresponding derivations are placed in TS 38.331 in the section for security key update. The security procedures for MR-DC should follow the procedures of EN-DC and thus place the key derivation in the same section as for the master key update (i.e. section 5.3.5.7. of TS 38.331).</w:t>
      </w:r>
    </w:p>
    <w:p w14:paraId="07FECEAC" w14:textId="554B4F6F" w:rsidR="00D22374" w:rsidRDefault="00D22374" w:rsidP="005A7B54"/>
    <w:p w14:paraId="453342F2" w14:textId="3E419641" w:rsidR="00D22374" w:rsidRDefault="00D22374" w:rsidP="00D22374">
      <w:pPr>
        <w:pStyle w:val="Proposal"/>
      </w:pPr>
      <w:bookmarkStart w:id="7" w:name="_Toc525208913"/>
      <w:bookmarkStart w:id="8" w:name="_Toc525556014"/>
      <w:bookmarkStart w:id="9" w:name="_Toc525760744"/>
      <w:bookmarkStart w:id="10" w:name="_Toc525825275"/>
      <w:r>
        <w:t>The procedures for the derivation of the K</w:t>
      </w:r>
      <w:r w:rsidRPr="002C5C4D">
        <w:rPr>
          <w:vertAlign w:val="subscript"/>
        </w:rPr>
        <w:t>SN</w:t>
      </w:r>
      <w:r>
        <w:t xml:space="preserve"> and the algorithm keys should be placed in the security key update section of TS 38.331.</w:t>
      </w:r>
      <w:bookmarkEnd w:id="7"/>
      <w:bookmarkEnd w:id="8"/>
      <w:bookmarkEnd w:id="9"/>
      <w:bookmarkEnd w:id="10"/>
    </w:p>
    <w:p w14:paraId="08B6DCD4" w14:textId="608C9A81" w:rsidR="00D22374" w:rsidRDefault="00D22374" w:rsidP="005A7B54"/>
    <w:p w14:paraId="0D104379" w14:textId="247A93D0" w:rsidR="00D22374" w:rsidRDefault="00D22374" w:rsidP="005A7B54">
      <w:r>
        <w:lastRenderedPageBreak/>
        <w:t>Since it has been agreed that LTE/5GC will use LTE code points for the algorithms, the derivation of the algorithm keys must distinguish between whether the SN is an ng-eNB (in case of NE-DC) or a gNB (in case of NR-DC or NGEN-DC). If the SN is an ng-eNB, the security algorithms, and thus the derivation of the algorithm keys will be based on EPS security procedures defined in TS 33.401, while if the SN is a gNB, the security algorithms and the derivation of the algorithm keys will be based on 5GS security procedures defined in TS 33.501.</w:t>
      </w:r>
    </w:p>
    <w:p w14:paraId="0D8556FA" w14:textId="3E20E15F" w:rsidR="004D1E68" w:rsidRDefault="004D1E68" w:rsidP="005A7B54"/>
    <w:p w14:paraId="0E72BDB3" w14:textId="77F2CEF4" w:rsidR="006E59B5" w:rsidRDefault="006E59B5" w:rsidP="006E59B5">
      <w:pPr>
        <w:pStyle w:val="Observation"/>
      </w:pPr>
      <w:bookmarkStart w:id="11" w:name="_Toc525208915"/>
      <w:bookmarkStart w:id="12" w:name="_Toc525556009"/>
      <w:bookmarkStart w:id="13" w:name="_Toc525760739"/>
      <w:bookmarkStart w:id="14" w:name="_Toc525825270"/>
      <w:r>
        <w:t>Which security algorithm to use and how to derive the algorithm keys in node will depend on whether the MN or SN is a gNB or an ng-eNB</w:t>
      </w:r>
      <w:bookmarkEnd w:id="11"/>
      <w:bookmarkEnd w:id="12"/>
      <w:bookmarkEnd w:id="13"/>
      <w:bookmarkEnd w:id="14"/>
    </w:p>
    <w:p w14:paraId="0F4FB05F" w14:textId="09AAC294" w:rsidR="00D22374" w:rsidRDefault="002C5C4D" w:rsidP="005A7B54">
      <w:r>
        <w:t>Since the key derivation procedures for the secondary key for NGEN-DC will be the same as for EN-DC, the security key update procedures for EN</w:t>
      </w:r>
      <w:r w:rsidR="00C15F0D">
        <w:t>-</w:t>
      </w:r>
      <w:r>
        <w:t>DC should be updated to also cover NGEN-DC.</w:t>
      </w:r>
    </w:p>
    <w:p w14:paraId="2600F79B" w14:textId="2C82DC6E" w:rsidR="002C5C4D" w:rsidRDefault="002C5C4D" w:rsidP="002C5C4D">
      <w:pPr>
        <w:pStyle w:val="Proposal"/>
      </w:pPr>
      <w:bookmarkStart w:id="15" w:name="_Toc525556015"/>
      <w:bookmarkStart w:id="16" w:name="_Toc525760745"/>
      <w:bookmarkStart w:id="17" w:name="_Toc525825276"/>
      <w:r>
        <w:t>The procedures for derivation of the secondary key for EN-DC are extended to also apply to NGEN-DC</w:t>
      </w:r>
      <w:bookmarkEnd w:id="15"/>
      <w:bookmarkEnd w:id="16"/>
      <w:bookmarkEnd w:id="17"/>
    </w:p>
    <w:p w14:paraId="69B69712" w14:textId="1A02B8E8" w:rsidR="006C6EC0" w:rsidRDefault="006C6EC0" w:rsidP="006C6EC0">
      <w:pPr>
        <w:pStyle w:val="Heading2"/>
      </w:pPr>
      <w:r>
        <w:t>Configuration of security algorithms</w:t>
      </w:r>
    </w:p>
    <w:p w14:paraId="6C7F2584" w14:textId="3B62F046" w:rsidR="00815764" w:rsidRDefault="001A5D94" w:rsidP="005A7B54">
      <w:pPr>
        <w:rPr>
          <w:bCs/>
          <w:iCs/>
        </w:rPr>
      </w:pPr>
      <w:r>
        <w:t>In NR, the security algorithms are configured for the PDCP entities when an RB is added or modified, i.e. in section 5.3.5.6 (Radio Bearer configuration) in TS 38.331. For inter-system handover from NR to LTE/5GC, procedures to apply algorithm using LTE code points were introduced for the RB modification, with the procedure condition (</w:t>
      </w:r>
      <w:r w:rsidR="00C53735">
        <w:t>‘</w:t>
      </w:r>
      <w:r>
        <w:t>if target RAT is E-UTRA/5GC</w:t>
      </w:r>
      <w:r w:rsidR="00C53735">
        <w:t>’</w:t>
      </w:r>
      <w:r>
        <w:t xml:space="preserve">). </w:t>
      </w:r>
      <w:r w:rsidR="003C3467">
        <w:t>However, the condition is vague in how to determine what the target RAT is, and in case of MR-DC, the term ‘target RAT’ may be ambiguous whether it refers to the MN or the SN.</w:t>
      </w:r>
      <w:r w:rsidR="00864C23">
        <w:t xml:space="preserve"> </w:t>
      </w:r>
      <w:r w:rsidR="00F02BD6">
        <w:t>Considering that i</w:t>
      </w:r>
      <w:r w:rsidR="00815764">
        <w:t>f the UE</w:t>
      </w:r>
      <w:r w:rsidR="00F02BD6">
        <w:t xml:space="preserve"> connected to 5GC,</w:t>
      </w:r>
      <w:r w:rsidR="00815764">
        <w:t xml:space="preserve"> is configured to terminate a bearer in an ng-eNB with NR PDCP, the</w:t>
      </w:r>
      <w:r w:rsidR="00F02BD6">
        <w:t xml:space="preserve"> </w:t>
      </w:r>
      <w:r w:rsidR="00F02BD6">
        <w:rPr>
          <w:i/>
        </w:rPr>
        <w:t>srb-toAddModList</w:t>
      </w:r>
      <w:r w:rsidR="00F02BD6">
        <w:t xml:space="preserve"> and/or the</w:t>
      </w:r>
      <w:r w:rsidR="00815764">
        <w:t xml:space="preserve"> </w:t>
      </w:r>
      <w:r w:rsidR="00815764" w:rsidRPr="008769A4">
        <w:rPr>
          <w:i/>
        </w:rPr>
        <w:t>drb-toAddModList</w:t>
      </w:r>
      <w:r w:rsidR="00815764">
        <w:t xml:space="preserve"> in the </w:t>
      </w:r>
      <w:r w:rsidR="00815764">
        <w:rPr>
          <w:i/>
        </w:rPr>
        <w:t>RadioResourceConfigDedicated</w:t>
      </w:r>
      <w:r w:rsidR="00815764">
        <w:t xml:space="preserve"> in the </w:t>
      </w:r>
      <w:r w:rsidR="00815764">
        <w:rPr>
          <w:i/>
        </w:rPr>
        <w:t>RRCConnectionReconfiguration</w:t>
      </w:r>
      <w:r w:rsidR="00815764">
        <w:t xml:space="preserve"> message in LTE will contain the same </w:t>
      </w:r>
      <w:r w:rsidR="00F02BD6">
        <w:rPr>
          <w:i/>
        </w:rPr>
        <w:t>srb-Identity/</w:t>
      </w:r>
      <w:r w:rsidR="00815764" w:rsidRPr="008769A4">
        <w:rPr>
          <w:i/>
        </w:rPr>
        <w:t>drb-Id</w:t>
      </w:r>
      <w:r w:rsidR="00815764">
        <w:rPr>
          <w:i/>
        </w:rPr>
        <w:t>entity</w:t>
      </w:r>
      <w:r w:rsidR="00815764">
        <w:t xml:space="preserve"> as the </w:t>
      </w:r>
      <w:r w:rsidR="00F02BD6" w:rsidRPr="00FB6B52">
        <w:rPr>
          <w:i/>
        </w:rPr>
        <w:t>srb</w:t>
      </w:r>
      <w:r w:rsidR="00F02BD6">
        <w:t>-</w:t>
      </w:r>
      <w:r w:rsidR="00F02BD6" w:rsidRPr="00F02BD6">
        <w:rPr>
          <w:i/>
        </w:rPr>
        <w:t>toAddModList</w:t>
      </w:r>
      <w:r w:rsidR="00F02BD6">
        <w:t>/</w:t>
      </w:r>
      <w:r w:rsidR="00815764">
        <w:rPr>
          <w:i/>
        </w:rPr>
        <w:t xml:space="preserve">drb-toAddModList </w:t>
      </w:r>
      <w:r w:rsidR="00815764">
        <w:t xml:space="preserve">in </w:t>
      </w:r>
      <w:r w:rsidR="00815764">
        <w:rPr>
          <w:i/>
        </w:rPr>
        <w:t>R</w:t>
      </w:r>
      <w:r w:rsidR="00815764" w:rsidRPr="008769A4">
        <w:rPr>
          <w:i/>
        </w:rPr>
        <w:t>adioBearerConfig</w:t>
      </w:r>
      <w:r w:rsidR="00815764">
        <w:t xml:space="preserve"> in </w:t>
      </w:r>
      <w:r w:rsidR="00815764" w:rsidRPr="008769A4">
        <w:rPr>
          <w:i/>
        </w:rPr>
        <w:t>RRCReconfiguration</w:t>
      </w:r>
      <w:r w:rsidR="00815764">
        <w:t xml:space="preserve"> in NR.</w:t>
      </w:r>
      <w:r w:rsidR="003151C9">
        <w:t xml:space="preserve"> The absence of E-UTRA </w:t>
      </w:r>
      <w:r w:rsidR="003151C9" w:rsidRPr="003151C9">
        <w:rPr>
          <w:i/>
        </w:rPr>
        <w:t>PDCP-Config</w:t>
      </w:r>
      <w:r w:rsidR="003151C9">
        <w:t xml:space="preserve"> in the E-UTRA </w:t>
      </w:r>
      <w:r w:rsidR="003151C9">
        <w:rPr>
          <w:bCs/>
          <w:i/>
          <w:iCs/>
        </w:rPr>
        <w:t>RadioResourceConfigDedicated</w:t>
      </w:r>
      <w:r w:rsidR="003151C9">
        <w:rPr>
          <w:bCs/>
          <w:iCs/>
        </w:rPr>
        <w:t xml:space="preserve"> indicates that the bearer should be configured with NR PDCP.</w:t>
      </w:r>
    </w:p>
    <w:p w14:paraId="5DA87AFB" w14:textId="19E30F89" w:rsidR="00CA6A4C" w:rsidRDefault="00CA6A4C" w:rsidP="008E4EB5">
      <w:pPr>
        <w:pStyle w:val="Observation"/>
      </w:pPr>
      <w:bookmarkStart w:id="18" w:name="_Toc525556010"/>
      <w:bookmarkStart w:id="19" w:name="_Toc525760740"/>
      <w:bookmarkStart w:id="20" w:name="_Toc525825271"/>
      <w:r>
        <w:t>A</w:t>
      </w:r>
      <w:r w:rsidR="0018496E">
        <w:t>n</w:t>
      </w:r>
      <w:r>
        <w:t xml:space="preserve"> </w:t>
      </w:r>
      <w:r w:rsidR="0018496E">
        <w:t>SRB</w:t>
      </w:r>
      <w:r>
        <w:t xml:space="preserve"> and/or </w:t>
      </w:r>
      <w:r w:rsidR="0018496E">
        <w:t>D</w:t>
      </w:r>
      <w:r>
        <w:t>RB</w:t>
      </w:r>
      <w:r w:rsidR="0018496E">
        <w:t xml:space="preserve"> terminating in a</w:t>
      </w:r>
      <w:r w:rsidR="00080D0B">
        <w:t>n</w:t>
      </w:r>
      <w:r w:rsidR="0018496E">
        <w:t xml:space="preserve"> E-UTRA node configured with NR PDCP will receive </w:t>
      </w:r>
      <w:r w:rsidR="0018496E" w:rsidRPr="0018496E">
        <w:rPr>
          <w:i/>
        </w:rPr>
        <w:t>srb-ToAddModList/drb-ToAddModList</w:t>
      </w:r>
      <w:r w:rsidR="0018496E">
        <w:t xml:space="preserve"> in both E-UTRA and NR with the same </w:t>
      </w:r>
      <w:r w:rsidR="0018496E" w:rsidRPr="0018496E">
        <w:rPr>
          <w:i/>
        </w:rPr>
        <w:t>srb-Identity/drb-Identity</w:t>
      </w:r>
      <w:r w:rsidR="0018496E">
        <w:t>.</w:t>
      </w:r>
      <w:bookmarkEnd w:id="18"/>
      <w:bookmarkEnd w:id="19"/>
      <w:bookmarkEnd w:id="20"/>
      <w:r w:rsidR="008E4EB5">
        <w:t xml:space="preserve"> </w:t>
      </w:r>
    </w:p>
    <w:p w14:paraId="5E97F7CA" w14:textId="46E8171F" w:rsidR="008E4EB5" w:rsidRPr="0018496E" w:rsidRDefault="008E4EB5" w:rsidP="008E4EB5">
      <w:pPr>
        <w:pStyle w:val="Observation"/>
      </w:pPr>
      <w:bookmarkStart w:id="21" w:name="_Toc525556011"/>
      <w:bookmarkStart w:id="22" w:name="_Toc525760741"/>
      <w:bookmarkStart w:id="23" w:name="_Toc525825272"/>
      <w:r>
        <w:t>Absence or presence of PDCP-Config in RadioBearerConfig for the srb-Identity/drb-Identity</w:t>
      </w:r>
      <w:r w:rsidR="00080D0B">
        <w:t xml:space="preserve"> indicate</w:t>
      </w:r>
      <w:r>
        <w:t xml:space="preserve"> whether to use E-UTRA or NR PDCP.</w:t>
      </w:r>
      <w:bookmarkEnd w:id="21"/>
      <w:bookmarkEnd w:id="22"/>
      <w:bookmarkEnd w:id="23"/>
    </w:p>
    <w:p w14:paraId="7C3B0C00" w14:textId="792E3479" w:rsidR="00815764" w:rsidRDefault="00F94D05" w:rsidP="00F94D05">
      <w:pPr>
        <w:pStyle w:val="Observation"/>
      </w:pPr>
      <w:bookmarkStart w:id="24" w:name="_Toc525556012"/>
      <w:bookmarkStart w:id="25" w:name="_Toc525760742"/>
      <w:bookmarkStart w:id="26" w:name="_Toc525825273"/>
      <w:r>
        <w:t>A bearer terminating in an E-UTRA node connected to 5GC (ng-eNB) will use LTE security algorithms</w:t>
      </w:r>
      <w:r w:rsidR="005711D0">
        <w:t>, while an E-UTRA node connected to EPC using NR PDCP (eNB in EN-DC) will use NR security algorithms.</w:t>
      </w:r>
      <w:bookmarkEnd w:id="24"/>
      <w:bookmarkEnd w:id="25"/>
      <w:bookmarkEnd w:id="26"/>
    </w:p>
    <w:p w14:paraId="7C9FFA2B" w14:textId="10E88525" w:rsidR="005711D0" w:rsidRDefault="005711D0" w:rsidP="005711D0">
      <w:pPr>
        <w:pStyle w:val="Proposal"/>
      </w:pPr>
      <w:bookmarkStart w:id="27" w:name="_Toc525556016"/>
      <w:bookmarkStart w:id="28" w:name="_Toc525760746"/>
      <w:bookmarkStart w:id="29" w:name="_Toc525825277"/>
      <w:r>
        <w:t>Procedures for which security algorithm to use during bearer modification should be based on parameters the UE receives (implicitly or explicitly).</w:t>
      </w:r>
      <w:bookmarkEnd w:id="27"/>
      <w:bookmarkEnd w:id="28"/>
      <w:bookmarkEnd w:id="29"/>
    </w:p>
    <w:p w14:paraId="3A20AF35" w14:textId="067C8120" w:rsidR="006C6EC0" w:rsidRDefault="005711D0" w:rsidP="005A7B54">
      <w:r>
        <w:t>In addition</w:t>
      </w:r>
      <w:r w:rsidR="001A5D94">
        <w:t xml:space="preserve">, the procedures </w:t>
      </w:r>
      <w:r>
        <w:t xml:space="preserve">for addition of radio bearers currently do not allow configuring LTE algorithms, either for </w:t>
      </w:r>
      <w:r w:rsidR="001A5D94">
        <w:t>DRB or SRB addition.</w:t>
      </w:r>
    </w:p>
    <w:p w14:paraId="1D68E47C" w14:textId="1A4A4111" w:rsidR="001A5D94" w:rsidRDefault="005711D0" w:rsidP="005711D0">
      <w:pPr>
        <w:pStyle w:val="Proposal"/>
      </w:pPr>
      <w:bookmarkStart w:id="30" w:name="_Toc525556017"/>
      <w:bookmarkStart w:id="31" w:name="_Toc525760747"/>
      <w:bookmarkStart w:id="32" w:name="_Toc525825278"/>
      <w:r>
        <w:t xml:space="preserve">Add procedures in TS 38.331 to configure LTE security algorithms during </w:t>
      </w:r>
      <w:r w:rsidR="001A5D94">
        <w:t>SRB and DRB addition procedures</w:t>
      </w:r>
      <w:bookmarkEnd w:id="30"/>
      <w:bookmarkEnd w:id="31"/>
      <w:bookmarkEnd w:id="32"/>
    </w:p>
    <w:p w14:paraId="2725FCA7" w14:textId="77777777" w:rsidR="00864C23" w:rsidRDefault="00864C23" w:rsidP="005A7B54"/>
    <w:p w14:paraId="17E5F8F0" w14:textId="55028A32" w:rsidR="006E59B5" w:rsidRDefault="006E59B5" w:rsidP="005A7B54">
      <w:r>
        <w:t xml:space="preserve">We have provided a CR in </w:t>
      </w:r>
      <w:r w:rsidR="0099581A" w:rsidRPr="00BF07A6">
        <w:t>R2-1814095</w:t>
      </w:r>
      <w:r w:rsidR="0099581A">
        <w:t>.</w:t>
      </w:r>
      <w:r>
        <w:t>detailing the required changes to TS 38.331 to support the security configurations for MR-DC.</w:t>
      </w:r>
    </w:p>
    <w:p w14:paraId="73E42ACC" w14:textId="7B1C3664" w:rsidR="00E51C6D" w:rsidRDefault="00E51C6D" w:rsidP="00E51C6D">
      <w:pPr>
        <w:pStyle w:val="Proposal"/>
      </w:pPr>
      <w:bookmarkStart w:id="33" w:name="_Toc525208914"/>
      <w:bookmarkStart w:id="34" w:name="_Toc525556018"/>
      <w:bookmarkStart w:id="35" w:name="_Toc525760748"/>
      <w:bookmarkStart w:id="36" w:name="_Toc525825279"/>
      <w:r>
        <w:t xml:space="preserve">Agree to the CR in </w:t>
      </w:r>
      <w:r w:rsidR="0099581A" w:rsidRPr="00BF07A6">
        <w:t>R2-1814095</w:t>
      </w:r>
      <w:r>
        <w:t>.</w:t>
      </w:r>
      <w:bookmarkEnd w:id="33"/>
      <w:bookmarkEnd w:id="34"/>
      <w:bookmarkEnd w:id="35"/>
      <w:bookmarkEnd w:id="36"/>
    </w:p>
    <w:p w14:paraId="3D9B9DDC" w14:textId="77777777" w:rsidR="005A7B54" w:rsidRPr="005A7B54" w:rsidRDefault="005A7B54" w:rsidP="005A7B54"/>
    <w:p w14:paraId="11D7908A" w14:textId="77777777" w:rsidR="00C667B6" w:rsidRPr="00CE0424" w:rsidRDefault="00C667B6" w:rsidP="00C667B6">
      <w:pPr>
        <w:pStyle w:val="BodyText"/>
      </w:pPr>
    </w:p>
    <w:p w14:paraId="6446FB68" w14:textId="77777777" w:rsidR="00E81D45" w:rsidRDefault="00E81D45" w:rsidP="00CE0424">
      <w:pPr>
        <w:pStyle w:val="Heading1"/>
        <w:sectPr w:rsidR="00E81D45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7" w:name="_Ref189046994"/>
    </w:p>
    <w:bookmarkEnd w:id="37"/>
    <w:p w14:paraId="783704AA" w14:textId="1227AFB5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21CBCAF3" w14:textId="77777777" w:rsidR="00764D0F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E2D89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22359DE0" w14:textId="77777777" w:rsidR="00764D0F" w:rsidRDefault="00764D0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Which security algorithm to use and how to derive the algorithm keys in node will depend on whether the MN or SN is a gNB or an ng-eNB</w:t>
      </w:r>
    </w:p>
    <w:p w14:paraId="7DF66CCB" w14:textId="77777777" w:rsidR="00764D0F" w:rsidRDefault="00764D0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An SRB and/or DRB terminating in an E-UTRA node configured with NR PDCP will receive </w:t>
      </w:r>
      <w:r w:rsidRPr="000377FE">
        <w:rPr>
          <w:i/>
        </w:rPr>
        <w:t>srb-ToAddModList/drb-ToAddModList</w:t>
      </w:r>
      <w:r>
        <w:t xml:space="preserve"> in both E-UTRA and NR with the same </w:t>
      </w:r>
      <w:r w:rsidRPr="000377FE">
        <w:rPr>
          <w:i/>
        </w:rPr>
        <w:t>srb-Identity/drb-Identity</w:t>
      </w:r>
      <w:r>
        <w:t>.</w:t>
      </w:r>
    </w:p>
    <w:p w14:paraId="71B8A074" w14:textId="77777777" w:rsidR="00764D0F" w:rsidRDefault="00764D0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Absence or presence of PDCP-Config in RadioBearerConfig for the srb-Identity/drb-Identity indicate whether to use E-UTRA or NR PDCP.</w:t>
      </w:r>
    </w:p>
    <w:p w14:paraId="52F073F5" w14:textId="77777777" w:rsidR="00764D0F" w:rsidRDefault="00764D0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 bearer terminating in an E-UTRA node connected to 5GC (ng-eNB) will use LTE security algorithms, while an E-UTRA node connected to EPC using NR PDCP (eNB in EN-DC) will use NR security algorithms.</w:t>
      </w:r>
    </w:p>
    <w:p w14:paraId="35BB5BAD" w14:textId="740D4CFD" w:rsidR="008E065E" w:rsidRDefault="008E065E" w:rsidP="003E327A">
      <w:pPr>
        <w:pStyle w:val="TOC1"/>
        <w:rPr>
          <w:b w:val="0"/>
          <w:bCs/>
        </w:rPr>
      </w:pPr>
      <w:r>
        <w:rPr>
          <w:b w:val="0"/>
          <w:bCs/>
        </w:rPr>
        <w:fldChar w:fldCharType="end"/>
      </w:r>
    </w:p>
    <w:p w14:paraId="3DBC8F4C" w14:textId="77777777" w:rsidR="00764D0F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E2D89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5D2377F" w14:textId="77777777" w:rsidR="00764D0F" w:rsidRDefault="00764D0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sk-Counter, used for derivation of the K</w:t>
      </w:r>
      <w:r w:rsidRPr="009E5072">
        <w:rPr>
          <w:vertAlign w:val="subscript"/>
        </w:rPr>
        <w:t>SN</w:t>
      </w:r>
      <w:r>
        <w:t xml:space="preserve"> for NR-DC and NE-DC is placed in the </w:t>
      </w:r>
      <w:r w:rsidRPr="009E5072">
        <w:rPr>
          <w:i/>
        </w:rPr>
        <w:t>RRCReconfiguration</w:t>
      </w:r>
      <w:r>
        <w:t xml:space="preserve"> message.</w:t>
      </w:r>
    </w:p>
    <w:p w14:paraId="6CA7B14A" w14:textId="77777777" w:rsidR="00764D0F" w:rsidRDefault="00764D0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procedures for the derivation of the K</w:t>
      </w:r>
      <w:r w:rsidRPr="009E5072">
        <w:rPr>
          <w:vertAlign w:val="subscript"/>
        </w:rPr>
        <w:t>SN</w:t>
      </w:r>
      <w:r>
        <w:t xml:space="preserve"> and the algorithm keys should be placed in the security key update section of TS 38.331.</w:t>
      </w:r>
    </w:p>
    <w:p w14:paraId="78495FE3" w14:textId="77777777" w:rsidR="00764D0F" w:rsidRDefault="00764D0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procedures for derivation of the secondary key for EN-DC are extended to also apply to NGEN-DC</w:t>
      </w:r>
    </w:p>
    <w:p w14:paraId="31F078FB" w14:textId="77777777" w:rsidR="00764D0F" w:rsidRDefault="00764D0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Procedures for which security algorithm to use during bearer modification should be based on parameters the UE receives (implicitly or explicitly).</w:t>
      </w:r>
    </w:p>
    <w:p w14:paraId="715E1637" w14:textId="77777777" w:rsidR="00764D0F" w:rsidRDefault="00764D0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Add procedures in TS 38.331 to configure LTE security algorithms during SRB and DRB addition procedures</w:t>
      </w:r>
    </w:p>
    <w:p w14:paraId="41871E70" w14:textId="77777777" w:rsidR="00764D0F" w:rsidRDefault="00764D0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6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Agree to the CR in R2-1814095.</w:t>
      </w:r>
    </w:p>
    <w:p w14:paraId="092B694F" w14:textId="41548DF9" w:rsidR="00C01F33" w:rsidRPr="003E327A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6173B47E" w14:textId="77777777" w:rsidR="00F507D1" w:rsidRPr="00CE0424" w:rsidRDefault="00F507D1" w:rsidP="00CE0424">
      <w:pPr>
        <w:pStyle w:val="Heading1"/>
      </w:pPr>
      <w:bookmarkStart w:id="38" w:name="_In-sequence_SDU_delivery"/>
      <w:bookmarkEnd w:id="38"/>
      <w:r w:rsidRPr="00CE0424">
        <w:t>References</w:t>
      </w:r>
    </w:p>
    <w:p w14:paraId="068C0DE1" w14:textId="341155AA" w:rsidR="003A7EF3" w:rsidRPr="003E327A" w:rsidRDefault="00764D0F" w:rsidP="00CD783B">
      <w:pPr>
        <w:pStyle w:val="Reference"/>
      </w:pPr>
      <w:bookmarkStart w:id="39" w:name="_Ref501550497"/>
      <w:bookmarkStart w:id="40" w:name="_Ref174151459"/>
      <w:bookmarkStart w:id="41" w:name="_Ref189809556"/>
      <w:r w:rsidRPr="00BF07A6">
        <w:t>R2-1814095</w:t>
      </w:r>
      <w:r w:rsidR="003E327A" w:rsidRPr="0088264C">
        <w:t>,</w:t>
      </w:r>
      <w:r>
        <w:t xml:space="preserve"> CR to 38.331 on security configuration for eLTE and MR-DC, </w:t>
      </w:r>
      <w:r w:rsidR="007E4108">
        <w:t xml:space="preserve">Ericsson, RAN2#103bis, Chengdu, China, </w:t>
      </w:r>
      <w:bookmarkEnd w:id="39"/>
      <w:bookmarkEnd w:id="40"/>
      <w:bookmarkEnd w:id="41"/>
      <w:r w:rsidR="007E4108">
        <w:t>8-12 October 2018.</w:t>
      </w:r>
    </w:p>
    <w:sectPr w:rsidR="003A7EF3" w:rsidRPr="003E327A" w:rsidSect="00E81D4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2D36E" w14:textId="77777777" w:rsidR="00E10077" w:rsidRDefault="00E10077">
      <w:r>
        <w:separator/>
      </w:r>
    </w:p>
  </w:endnote>
  <w:endnote w:type="continuationSeparator" w:id="0">
    <w:p w14:paraId="4F82229E" w14:textId="77777777" w:rsidR="00E10077" w:rsidRDefault="00E10077">
      <w:r>
        <w:continuationSeparator/>
      </w:r>
    </w:p>
  </w:endnote>
  <w:endnote w:type="continuationNotice" w:id="1">
    <w:p w14:paraId="4055A239" w14:textId="77777777" w:rsidR="00E10077" w:rsidRDefault="00E100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37896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2E789" w14:textId="77777777" w:rsidR="00E10077" w:rsidRDefault="00E10077">
      <w:r>
        <w:separator/>
      </w:r>
    </w:p>
  </w:footnote>
  <w:footnote w:type="continuationSeparator" w:id="0">
    <w:p w14:paraId="2AA1C013" w14:textId="77777777" w:rsidR="00E10077" w:rsidRDefault="00E10077">
      <w:r>
        <w:continuationSeparator/>
      </w:r>
    </w:p>
  </w:footnote>
  <w:footnote w:type="continuationNotice" w:id="1">
    <w:p w14:paraId="67B55872" w14:textId="77777777" w:rsidR="00E10077" w:rsidRDefault="00E100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114FE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YyA5JmRgYGRuYmlko6SsGpxcWZ+XkgBZa1ALngvEgsAAAA"/>
  </w:docVars>
  <w:rsids>
    <w:rsidRoot w:val="004E2D89"/>
    <w:rsid w:val="000006E1"/>
    <w:rsid w:val="00002A37"/>
    <w:rsid w:val="000039F4"/>
    <w:rsid w:val="00006446"/>
    <w:rsid w:val="00006896"/>
    <w:rsid w:val="00007CDC"/>
    <w:rsid w:val="00011B28"/>
    <w:rsid w:val="000136A8"/>
    <w:rsid w:val="000151AE"/>
    <w:rsid w:val="00015D15"/>
    <w:rsid w:val="0002564D"/>
    <w:rsid w:val="00025ECA"/>
    <w:rsid w:val="000325B8"/>
    <w:rsid w:val="00034C15"/>
    <w:rsid w:val="0003501F"/>
    <w:rsid w:val="00036BA1"/>
    <w:rsid w:val="000422E2"/>
    <w:rsid w:val="00042F22"/>
    <w:rsid w:val="000444EF"/>
    <w:rsid w:val="00044C53"/>
    <w:rsid w:val="00052A07"/>
    <w:rsid w:val="000534E3"/>
    <w:rsid w:val="0005606A"/>
    <w:rsid w:val="00057117"/>
    <w:rsid w:val="000616E7"/>
    <w:rsid w:val="0006487E"/>
    <w:rsid w:val="00065E1A"/>
    <w:rsid w:val="00067F43"/>
    <w:rsid w:val="0007188F"/>
    <w:rsid w:val="0007636A"/>
    <w:rsid w:val="00077E5F"/>
    <w:rsid w:val="0008036A"/>
    <w:rsid w:val="00080D0B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2DC"/>
    <w:rsid w:val="000B2719"/>
    <w:rsid w:val="000B3A8F"/>
    <w:rsid w:val="000B4AB9"/>
    <w:rsid w:val="000B58C3"/>
    <w:rsid w:val="000B61E9"/>
    <w:rsid w:val="000C165A"/>
    <w:rsid w:val="000C2E19"/>
    <w:rsid w:val="000C3737"/>
    <w:rsid w:val="000D0D07"/>
    <w:rsid w:val="000D4797"/>
    <w:rsid w:val="000D4D5A"/>
    <w:rsid w:val="000E0527"/>
    <w:rsid w:val="000E1E92"/>
    <w:rsid w:val="000F06D6"/>
    <w:rsid w:val="000F0EB1"/>
    <w:rsid w:val="000F1106"/>
    <w:rsid w:val="000F3BE9"/>
    <w:rsid w:val="000F3F6C"/>
    <w:rsid w:val="000F5980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197"/>
    <w:rsid w:val="00124314"/>
    <w:rsid w:val="00126B4A"/>
    <w:rsid w:val="00132FD0"/>
    <w:rsid w:val="001344C0"/>
    <w:rsid w:val="001346FA"/>
    <w:rsid w:val="00134F86"/>
    <w:rsid w:val="00135252"/>
    <w:rsid w:val="00137AB5"/>
    <w:rsid w:val="00137F0B"/>
    <w:rsid w:val="00151E23"/>
    <w:rsid w:val="001526E0"/>
    <w:rsid w:val="001551B5"/>
    <w:rsid w:val="001659C1"/>
    <w:rsid w:val="00170230"/>
    <w:rsid w:val="0017180C"/>
    <w:rsid w:val="00173A8E"/>
    <w:rsid w:val="00177795"/>
    <w:rsid w:val="0018143F"/>
    <w:rsid w:val="0018496E"/>
    <w:rsid w:val="00190AC1"/>
    <w:rsid w:val="001917F3"/>
    <w:rsid w:val="00191A37"/>
    <w:rsid w:val="0019341A"/>
    <w:rsid w:val="00193F72"/>
    <w:rsid w:val="00197DF9"/>
    <w:rsid w:val="001A1987"/>
    <w:rsid w:val="001A2564"/>
    <w:rsid w:val="001A5D94"/>
    <w:rsid w:val="001A6173"/>
    <w:rsid w:val="001A6CBA"/>
    <w:rsid w:val="001B0D97"/>
    <w:rsid w:val="001B5A5D"/>
    <w:rsid w:val="001C0D9B"/>
    <w:rsid w:val="001C1CE5"/>
    <w:rsid w:val="001C3D2A"/>
    <w:rsid w:val="001D11C7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311"/>
    <w:rsid w:val="002069B2"/>
    <w:rsid w:val="00207FA3"/>
    <w:rsid w:val="00214B6F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35AA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8C2"/>
    <w:rsid w:val="002B24D6"/>
    <w:rsid w:val="002C11A7"/>
    <w:rsid w:val="002C41E6"/>
    <w:rsid w:val="002C5C4D"/>
    <w:rsid w:val="002D071A"/>
    <w:rsid w:val="002D34B2"/>
    <w:rsid w:val="002D7637"/>
    <w:rsid w:val="002E17F2"/>
    <w:rsid w:val="002E7CAE"/>
    <w:rsid w:val="002F2771"/>
    <w:rsid w:val="002F37A9"/>
    <w:rsid w:val="002F7059"/>
    <w:rsid w:val="00301CE6"/>
    <w:rsid w:val="0030256B"/>
    <w:rsid w:val="0030501F"/>
    <w:rsid w:val="00305EF0"/>
    <w:rsid w:val="00307220"/>
    <w:rsid w:val="00307BA1"/>
    <w:rsid w:val="003103AD"/>
    <w:rsid w:val="00311702"/>
    <w:rsid w:val="00311E82"/>
    <w:rsid w:val="00313FD6"/>
    <w:rsid w:val="003143BD"/>
    <w:rsid w:val="003151C9"/>
    <w:rsid w:val="00317A53"/>
    <w:rsid w:val="003203ED"/>
    <w:rsid w:val="00322C9F"/>
    <w:rsid w:val="00324D23"/>
    <w:rsid w:val="003250CA"/>
    <w:rsid w:val="00331751"/>
    <w:rsid w:val="00334579"/>
    <w:rsid w:val="0033548D"/>
    <w:rsid w:val="00335858"/>
    <w:rsid w:val="00336BDA"/>
    <w:rsid w:val="00342BD7"/>
    <w:rsid w:val="00343A07"/>
    <w:rsid w:val="00346DB5"/>
    <w:rsid w:val="003477B1"/>
    <w:rsid w:val="00353A1C"/>
    <w:rsid w:val="003544D0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0D2"/>
    <w:rsid w:val="003A2223"/>
    <w:rsid w:val="003A2A0F"/>
    <w:rsid w:val="003A45A1"/>
    <w:rsid w:val="003A5B0A"/>
    <w:rsid w:val="003A6BAC"/>
    <w:rsid w:val="003A7EF3"/>
    <w:rsid w:val="003B0983"/>
    <w:rsid w:val="003B0B15"/>
    <w:rsid w:val="003B159C"/>
    <w:rsid w:val="003B369F"/>
    <w:rsid w:val="003B36A3"/>
    <w:rsid w:val="003B460B"/>
    <w:rsid w:val="003B7FE5"/>
    <w:rsid w:val="003C11C8"/>
    <w:rsid w:val="003C2702"/>
    <w:rsid w:val="003C3467"/>
    <w:rsid w:val="003C6249"/>
    <w:rsid w:val="003C7806"/>
    <w:rsid w:val="003D109F"/>
    <w:rsid w:val="003D2478"/>
    <w:rsid w:val="003D3C45"/>
    <w:rsid w:val="003D5B1F"/>
    <w:rsid w:val="003E15FA"/>
    <w:rsid w:val="003E327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0F01"/>
    <w:rsid w:val="004669E2"/>
    <w:rsid w:val="00470C31"/>
    <w:rsid w:val="004734D0"/>
    <w:rsid w:val="0047556B"/>
    <w:rsid w:val="00477768"/>
    <w:rsid w:val="00492BC5"/>
    <w:rsid w:val="004964F1"/>
    <w:rsid w:val="00497A69"/>
    <w:rsid w:val="00497CD5"/>
    <w:rsid w:val="004A16BC"/>
    <w:rsid w:val="004A2B94"/>
    <w:rsid w:val="004A5AAC"/>
    <w:rsid w:val="004B7C0C"/>
    <w:rsid w:val="004C2DB9"/>
    <w:rsid w:val="004C3898"/>
    <w:rsid w:val="004C6EC2"/>
    <w:rsid w:val="004D1E68"/>
    <w:rsid w:val="004D36B1"/>
    <w:rsid w:val="004D7EBD"/>
    <w:rsid w:val="004E2680"/>
    <w:rsid w:val="004E28F9"/>
    <w:rsid w:val="004E2D8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0E4D"/>
    <w:rsid w:val="005116F9"/>
    <w:rsid w:val="005153A7"/>
    <w:rsid w:val="00520A47"/>
    <w:rsid w:val="005219CF"/>
    <w:rsid w:val="00534B59"/>
    <w:rsid w:val="00536759"/>
    <w:rsid w:val="00537C62"/>
    <w:rsid w:val="00543D38"/>
    <w:rsid w:val="00546970"/>
    <w:rsid w:val="00554E19"/>
    <w:rsid w:val="0056121F"/>
    <w:rsid w:val="005711D0"/>
    <w:rsid w:val="00572505"/>
    <w:rsid w:val="00580511"/>
    <w:rsid w:val="00582809"/>
    <w:rsid w:val="00587351"/>
    <w:rsid w:val="0058747D"/>
    <w:rsid w:val="0058798C"/>
    <w:rsid w:val="00590014"/>
    <w:rsid w:val="005900FA"/>
    <w:rsid w:val="005935A4"/>
    <w:rsid w:val="005948C2"/>
    <w:rsid w:val="00595DCA"/>
    <w:rsid w:val="0059779B"/>
    <w:rsid w:val="005A209A"/>
    <w:rsid w:val="005A2496"/>
    <w:rsid w:val="005A662D"/>
    <w:rsid w:val="005A7B54"/>
    <w:rsid w:val="005B35D7"/>
    <w:rsid w:val="005B392A"/>
    <w:rsid w:val="005B3AA3"/>
    <w:rsid w:val="005B591A"/>
    <w:rsid w:val="005B6F83"/>
    <w:rsid w:val="005C2151"/>
    <w:rsid w:val="005C74FB"/>
    <w:rsid w:val="005D1602"/>
    <w:rsid w:val="005D7DFC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20F5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8E5"/>
    <w:rsid w:val="00683ECE"/>
    <w:rsid w:val="00695FC2"/>
    <w:rsid w:val="00696949"/>
    <w:rsid w:val="00697052"/>
    <w:rsid w:val="006A46FB"/>
    <w:rsid w:val="006A5D4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EC0"/>
    <w:rsid w:val="006C7522"/>
    <w:rsid w:val="006D1E26"/>
    <w:rsid w:val="006D6F08"/>
    <w:rsid w:val="006E062C"/>
    <w:rsid w:val="006E28B7"/>
    <w:rsid w:val="006E3310"/>
    <w:rsid w:val="006E4E39"/>
    <w:rsid w:val="006E565E"/>
    <w:rsid w:val="006E59B5"/>
    <w:rsid w:val="006E673D"/>
    <w:rsid w:val="006E7D3B"/>
    <w:rsid w:val="006F1B70"/>
    <w:rsid w:val="006F341D"/>
    <w:rsid w:val="006F3CDE"/>
    <w:rsid w:val="006F58D4"/>
    <w:rsid w:val="006F6185"/>
    <w:rsid w:val="00700EF5"/>
    <w:rsid w:val="0070346E"/>
    <w:rsid w:val="00704EDB"/>
    <w:rsid w:val="00706101"/>
    <w:rsid w:val="00707072"/>
    <w:rsid w:val="00707D61"/>
    <w:rsid w:val="00712287"/>
    <w:rsid w:val="00712772"/>
    <w:rsid w:val="0071447C"/>
    <w:rsid w:val="007148D3"/>
    <w:rsid w:val="00715B9A"/>
    <w:rsid w:val="00725C26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584"/>
    <w:rsid w:val="007604B2"/>
    <w:rsid w:val="00764D0F"/>
    <w:rsid w:val="00765281"/>
    <w:rsid w:val="00766BAD"/>
    <w:rsid w:val="007728BA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21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108"/>
    <w:rsid w:val="007E4610"/>
    <w:rsid w:val="007E4715"/>
    <w:rsid w:val="007E505B"/>
    <w:rsid w:val="007E7091"/>
    <w:rsid w:val="007E70F9"/>
    <w:rsid w:val="00800181"/>
    <w:rsid w:val="00803FAE"/>
    <w:rsid w:val="0080605F"/>
    <w:rsid w:val="00807786"/>
    <w:rsid w:val="00811FCB"/>
    <w:rsid w:val="00815764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C23"/>
    <w:rsid w:val="008677FD"/>
    <w:rsid w:val="008706D4"/>
    <w:rsid w:val="00870F8A"/>
    <w:rsid w:val="008719A4"/>
    <w:rsid w:val="00871D23"/>
    <w:rsid w:val="00874312"/>
    <w:rsid w:val="0087437C"/>
    <w:rsid w:val="00875CD7"/>
    <w:rsid w:val="008769A4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0F7"/>
    <w:rsid w:val="008C4958"/>
    <w:rsid w:val="008C4BAA"/>
    <w:rsid w:val="008C6AE8"/>
    <w:rsid w:val="008C7573"/>
    <w:rsid w:val="008D34F1"/>
    <w:rsid w:val="008D39D8"/>
    <w:rsid w:val="008D553F"/>
    <w:rsid w:val="008D6D1A"/>
    <w:rsid w:val="008D7B3E"/>
    <w:rsid w:val="008E065E"/>
    <w:rsid w:val="008E0927"/>
    <w:rsid w:val="008E1909"/>
    <w:rsid w:val="008E4EB5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E2D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581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15AA"/>
    <w:rsid w:val="00A13E54"/>
    <w:rsid w:val="00A17405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1664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6768"/>
    <w:rsid w:val="00A92879"/>
    <w:rsid w:val="00A9442A"/>
    <w:rsid w:val="00AA016F"/>
    <w:rsid w:val="00AA1ED6"/>
    <w:rsid w:val="00AA41C0"/>
    <w:rsid w:val="00AA51D6"/>
    <w:rsid w:val="00AA5697"/>
    <w:rsid w:val="00AB0BC8"/>
    <w:rsid w:val="00AB11CA"/>
    <w:rsid w:val="00AB14D9"/>
    <w:rsid w:val="00AB4AB8"/>
    <w:rsid w:val="00AB655E"/>
    <w:rsid w:val="00AB6DD4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283E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4996"/>
    <w:rsid w:val="00B372AA"/>
    <w:rsid w:val="00B40445"/>
    <w:rsid w:val="00B40803"/>
    <w:rsid w:val="00B41888"/>
    <w:rsid w:val="00B45A52"/>
    <w:rsid w:val="00B46175"/>
    <w:rsid w:val="00B6188F"/>
    <w:rsid w:val="00B664C7"/>
    <w:rsid w:val="00B71051"/>
    <w:rsid w:val="00B739F6"/>
    <w:rsid w:val="00B81A6C"/>
    <w:rsid w:val="00B840A3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2B1C"/>
    <w:rsid w:val="00BB51E9"/>
    <w:rsid w:val="00BB6B52"/>
    <w:rsid w:val="00BC0FDC"/>
    <w:rsid w:val="00BC3053"/>
    <w:rsid w:val="00BC4D2E"/>
    <w:rsid w:val="00BD2316"/>
    <w:rsid w:val="00BD48AC"/>
    <w:rsid w:val="00BD5F1A"/>
    <w:rsid w:val="00BE1234"/>
    <w:rsid w:val="00BE2FA6"/>
    <w:rsid w:val="00BE333F"/>
    <w:rsid w:val="00BE7406"/>
    <w:rsid w:val="00BE7603"/>
    <w:rsid w:val="00BF07A6"/>
    <w:rsid w:val="00BF20FD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ADD"/>
    <w:rsid w:val="00C14D4B"/>
    <w:rsid w:val="00C154BB"/>
    <w:rsid w:val="00C15F0D"/>
    <w:rsid w:val="00C2294B"/>
    <w:rsid w:val="00C24345"/>
    <w:rsid w:val="00C279B5"/>
    <w:rsid w:val="00C27C45"/>
    <w:rsid w:val="00C3719D"/>
    <w:rsid w:val="00C37251"/>
    <w:rsid w:val="00C4117D"/>
    <w:rsid w:val="00C53735"/>
    <w:rsid w:val="00C54995"/>
    <w:rsid w:val="00C54D41"/>
    <w:rsid w:val="00C60783"/>
    <w:rsid w:val="00C64672"/>
    <w:rsid w:val="00C667B6"/>
    <w:rsid w:val="00C70697"/>
    <w:rsid w:val="00C72EF4"/>
    <w:rsid w:val="00C75D2F"/>
    <w:rsid w:val="00C767BE"/>
    <w:rsid w:val="00C76E3C"/>
    <w:rsid w:val="00C81568"/>
    <w:rsid w:val="00C86DD8"/>
    <w:rsid w:val="00C9027A"/>
    <w:rsid w:val="00C9068E"/>
    <w:rsid w:val="00C93C4B"/>
    <w:rsid w:val="00C944AB"/>
    <w:rsid w:val="00C95B40"/>
    <w:rsid w:val="00CA1ED8"/>
    <w:rsid w:val="00CA6A4C"/>
    <w:rsid w:val="00CB1F63"/>
    <w:rsid w:val="00CB7170"/>
    <w:rsid w:val="00CC040E"/>
    <w:rsid w:val="00CC111F"/>
    <w:rsid w:val="00CC2011"/>
    <w:rsid w:val="00CC3EA0"/>
    <w:rsid w:val="00CC7B45"/>
    <w:rsid w:val="00CD1108"/>
    <w:rsid w:val="00CD1188"/>
    <w:rsid w:val="00CD2ED1"/>
    <w:rsid w:val="00CD337B"/>
    <w:rsid w:val="00CD783B"/>
    <w:rsid w:val="00CE0424"/>
    <w:rsid w:val="00CE256D"/>
    <w:rsid w:val="00CE7561"/>
    <w:rsid w:val="00CF1354"/>
    <w:rsid w:val="00CF3B1F"/>
    <w:rsid w:val="00CF3BF6"/>
    <w:rsid w:val="00CF625B"/>
    <w:rsid w:val="00CF687E"/>
    <w:rsid w:val="00D0349B"/>
    <w:rsid w:val="00D100D5"/>
    <w:rsid w:val="00D10249"/>
    <w:rsid w:val="00D115C3"/>
    <w:rsid w:val="00D11897"/>
    <w:rsid w:val="00D13135"/>
    <w:rsid w:val="00D13E4E"/>
    <w:rsid w:val="00D167C4"/>
    <w:rsid w:val="00D22374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86A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34EA"/>
    <w:rsid w:val="00DE5608"/>
    <w:rsid w:val="00DE58D0"/>
    <w:rsid w:val="00DE654F"/>
    <w:rsid w:val="00DF0B6E"/>
    <w:rsid w:val="00DF15E0"/>
    <w:rsid w:val="00DF37A0"/>
    <w:rsid w:val="00E1007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1C6D"/>
    <w:rsid w:val="00E53B75"/>
    <w:rsid w:val="00E5482F"/>
    <w:rsid w:val="00E54E3B"/>
    <w:rsid w:val="00E57565"/>
    <w:rsid w:val="00E63838"/>
    <w:rsid w:val="00E64434"/>
    <w:rsid w:val="00E67C51"/>
    <w:rsid w:val="00E702B0"/>
    <w:rsid w:val="00E7066F"/>
    <w:rsid w:val="00E72EFC"/>
    <w:rsid w:val="00E758EC"/>
    <w:rsid w:val="00E77D15"/>
    <w:rsid w:val="00E81D45"/>
    <w:rsid w:val="00E8234C"/>
    <w:rsid w:val="00E83AA9"/>
    <w:rsid w:val="00E85928"/>
    <w:rsid w:val="00E87822"/>
    <w:rsid w:val="00E87B7A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E5085"/>
    <w:rsid w:val="00EE51D6"/>
    <w:rsid w:val="00EF18FE"/>
    <w:rsid w:val="00EF5787"/>
    <w:rsid w:val="00EF60D0"/>
    <w:rsid w:val="00F02BD6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5232"/>
    <w:rsid w:val="00F3591D"/>
    <w:rsid w:val="00F37212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D05"/>
    <w:rsid w:val="00F96985"/>
    <w:rsid w:val="00F97838"/>
    <w:rsid w:val="00FA2BB3"/>
    <w:rsid w:val="00FB3B11"/>
    <w:rsid w:val="00FB4C80"/>
    <w:rsid w:val="00FB6A6A"/>
    <w:rsid w:val="00FB6B52"/>
    <w:rsid w:val="00FC7429"/>
    <w:rsid w:val="00FD07F6"/>
    <w:rsid w:val="00FD1EC8"/>
    <w:rsid w:val="00FD47ED"/>
    <w:rsid w:val="00FD4985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0E2F84"/>
  <w15:chartTrackingRefBased/>
  <w15:docId w15:val="{DF444EAE-A78D-4096-9ECE-CED73A2D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4B6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214B6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14B6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14B6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14B6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14B6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14B6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14B6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14B6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14B6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14B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4B6F"/>
  </w:style>
  <w:style w:type="paragraph" w:styleId="TOC8">
    <w:name w:val="toc 8"/>
    <w:basedOn w:val="TOC1"/>
    <w:semiHidden/>
    <w:rsid w:val="00214B6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14B6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14B6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14B6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14B6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14B6F"/>
    <w:pPr>
      <w:ind w:left="1418" w:hanging="1418"/>
    </w:pPr>
  </w:style>
  <w:style w:type="paragraph" w:styleId="TOC3">
    <w:name w:val="toc 3"/>
    <w:basedOn w:val="TOC2"/>
    <w:semiHidden/>
    <w:rsid w:val="00214B6F"/>
    <w:pPr>
      <w:ind w:left="1134" w:hanging="1134"/>
    </w:pPr>
  </w:style>
  <w:style w:type="paragraph" w:styleId="TOC2">
    <w:name w:val="toc 2"/>
    <w:basedOn w:val="TOC1"/>
    <w:semiHidden/>
    <w:rsid w:val="00214B6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14B6F"/>
    <w:pPr>
      <w:ind w:left="284"/>
    </w:pPr>
  </w:style>
  <w:style w:type="paragraph" w:styleId="Index1">
    <w:name w:val="index 1"/>
    <w:basedOn w:val="Normal"/>
    <w:semiHidden/>
    <w:rsid w:val="00214B6F"/>
    <w:pPr>
      <w:keepLines/>
      <w:spacing w:after="0"/>
    </w:pPr>
  </w:style>
  <w:style w:type="paragraph" w:styleId="DocumentMap">
    <w:name w:val="Document Map"/>
    <w:basedOn w:val="Normal"/>
    <w:semiHidden/>
    <w:rsid w:val="00214B6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14B6F"/>
    <w:pPr>
      <w:ind w:left="851"/>
    </w:pPr>
  </w:style>
  <w:style w:type="paragraph" w:styleId="ListNumber">
    <w:name w:val="List Number"/>
    <w:basedOn w:val="List"/>
    <w:rsid w:val="00214B6F"/>
  </w:style>
  <w:style w:type="paragraph" w:styleId="List">
    <w:name w:val="List"/>
    <w:basedOn w:val="Normal"/>
    <w:rsid w:val="00214B6F"/>
    <w:pPr>
      <w:ind w:left="568" w:hanging="284"/>
    </w:pPr>
  </w:style>
  <w:style w:type="paragraph" w:styleId="Header">
    <w:name w:val="header"/>
    <w:rsid w:val="00214B6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14B6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14B6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14B6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14B6F"/>
    <w:pPr>
      <w:ind w:left="1418" w:hanging="1418"/>
    </w:pPr>
  </w:style>
  <w:style w:type="paragraph" w:styleId="TOC6">
    <w:name w:val="toc 6"/>
    <w:basedOn w:val="TOC5"/>
    <w:next w:val="Normal"/>
    <w:semiHidden/>
    <w:rsid w:val="00214B6F"/>
    <w:pPr>
      <w:ind w:left="1985" w:hanging="1985"/>
    </w:pPr>
  </w:style>
  <w:style w:type="paragraph" w:styleId="TOC7">
    <w:name w:val="toc 7"/>
    <w:basedOn w:val="TOC6"/>
    <w:next w:val="Normal"/>
    <w:semiHidden/>
    <w:rsid w:val="00214B6F"/>
    <w:pPr>
      <w:ind w:left="2268" w:hanging="2268"/>
    </w:pPr>
  </w:style>
  <w:style w:type="paragraph" w:styleId="ListBullet2">
    <w:name w:val="List Bullet 2"/>
    <w:basedOn w:val="ListBullet"/>
    <w:rsid w:val="00214B6F"/>
    <w:pPr>
      <w:numPr>
        <w:numId w:val="6"/>
      </w:numPr>
    </w:pPr>
  </w:style>
  <w:style w:type="paragraph" w:styleId="ListBullet">
    <w:name w:val="List Bullet"/>
    <w:basedOn w:val="BodyText"/>
    <w:rsid w:val="00214B6F"/>
    <w:pPr>
      <w:numPr>
        <w:numId w:val="5"/>
      </w:numPr>
    </w:pPr>
  </w:style>
  <w:style w:type="paragraph" w:styleId="ListBullet3">
    <w:name w:val="List Bullet 3"/>
    <w:basedOn w:val="ListBullet2"/>
    <w:rsid w:val="00214B6F"/>
    <w:pPr>
      <w:numPr>
        <w:numId w:val="7"/>
      </w:numPr>
    </w:pPr>
  </w:style>
  <w:style w:type="paragraph" w:customStyle="1" w:styleId="EQ">
    <w:name w:val="EQ"/>
    <w:basedOn w:val="Normal"/>
    <w:next w:val="Normal"/>
    <w:rsid w:val="00214B6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14B6F"/>
    <w:pPr>
      <w:ind w:left="851"/>
    </w:pPr>
  </w:style>
  <w:style w:type="paragraph" w:styleId="List3">
    <w:name w:val="List 3"/>
    <w:basedOn w:val="List2"/>
    <w:rsid w:val="00214B6F"/>
    <w:pPr>
      <w:ind w:left="1135"/>
    </w:pPr>
  </w:style>
  <w:style w:type="paragraph" w:styleId="List4">
    <w:name w:val="List 4"/>
    <w:basedOn w:val="List3"/>
    <w:rsid w:val="00214B6F"/>
    <w:pPr>
      <w:ind w:left="1418"/>
    </w:pPr>
  </w:style>
  <w:style w:type="paragraph" w:styleId="List5">
    <w:name w:val="List 5"/>
    <w:basedOn w:val="List4"/>
    <w:rsid w:val="00214B6F"/>
    <w:pPr>
      <w:ind w:left="1702"/>
    </w:pPr>
  </w:style>
  <w:style w:type="paragraph" w:customStyle="1" w:styleId="EditorsNote">
    <w:name w:val="Editor's Note"/>
    <w:basedOn w:val="Normal"/>
    <w:rsid w:val="00214B6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14B6F"/>
    <w:pPr>
      <w:numPr>
        <w:numId w:val="8"/>
      </w:numPr>
    </w:pPr>
  </w:style>
  <w:style w:type="paragraph" w:styleId="ListBullet5">
    <w:name w:val="List Bullet 5"/>
    <w:basedOn w:val="ListBullet4"/>
    <w:rsid w:val="00214B6F"/>
    <w:pPr>
      <w:numPr>
        <w:numId w:val="4"/>
      </w:numPr>
    </w:pPr>
  </w:style>
  <w:style w:type="paragraph" w:styleId="Footer">
    <w:name w:val="footer"/>
    <w:basedOn w:val="Header"/>
    <w:semiHidden/>
    <w:rsid w:val="00214B6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14B6F"/>
    <w:pPr>
      <w:numPr>
        <w:numId w:val="2"/>
      </w:numPr>
    </w:pPr>
  </w:style>
  <w:style w:type="paragraph" w:styleId="BalloonText">
    <w:name w:val="Balloon Text"/>
    <w:basedOn w:val="Normal"/>
    <w:semiHidden/>
    <w:rsid w:val="00214B6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14B6F"/>
  </w:style>
  <w:style w:type="paragraph" w:styleId="BodyText">
    <w:name w:val="Body Text"/>
    <w:basedOn w:val="Normal"/>
    <w:link w:val="BodyTextChar"/>
    <w:rsid w:val="00214B6F"/>
  </w:style>
  <w:style w:type="character" w:styleId="Hyperlink">
    <w:name w:val="Hyperlink"/>
    <w:uiPriority w:val="99"/>
    <w:rsid w:val="00214B6F"/>
    <w:rPr>
      <w:color w:val="0000FF"/>
      <w:u w:val="single"/>
      <w:lang w:val="en-GB"/>
    </w:rPr>
  </w:style>
  <w:style w:type="character" w:styleId="FollowedHyperlink">
    <w:name w:val="FollowedHyperlink"/>
    <w:semiHidden/>
    <w:rsid w:val="00214B6F"/>
    <w:rPr>
      <w:color w:val="FF0000"/>
      <w:u w:val="single"/>
    </w:rPr>
  </w:style>
  <w:style w:type="character" w:styleId="CommentReference">
    <w:name w:val="annotation reference"/>
    <w:semiHidden/>
    <w:rsid w:val="00214B6F"/>
    <w:rPr>
      <w:sz w:val="16"/>
      <w:szCs w:val="16"/>
    </w:rPr>
  </w:style>
  <w:style w:type="paragraph" w:styleId="CommentText">
    <w:name w:val="annotation text"/>
    <w:basedOn w:val="Normal"/>
    <w:semiHidden/>
    <w:rsid w:val="00214B6F"/>
  </w:style>
  <w:style w:type="paragraph" w:styleId="CommentSubject">
    <w:name w:val="annotation subject"/>
    <w:basedOn w:val="CommentText"/>
    <w:next w:val="CommentText"/>
    <w:semiHidden/>
    <w:rsid w:val="00214B6F"/>
    <w:rPr>
      <w:b/>
      <w:bCs/>
    </w:rPr>
  </w:style>
  <w:style w:type="character" w:customStyle="1" w:styleId="Heading1Char">
    <w:name w:val="Heading 1 Char"/>
    <w:link w:val="Heading1"/>
    <w:rsid w:val="00214B6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214B6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14B6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14B6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14B6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214B6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14B6F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14B6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14B6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14B6F"/>
    <w:pPr>
      <w:spacing w:after="0"/>
    </w:pPr>
  </w:style>
  <w:style w:type="paragraph" w:customStyle="1" w:styleId="TAL">
    <w:name w:val="TAL"/>
    <w:basedOn w:val="Normal"/>
    <w:link w:val="TALCar"/>
    <w:rsid w:val="00214B6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14B6F"/>
    <w:pPr>
      <w:jc w:val="center"/>
    </w:pPr>
  </w:style>
  <w:style w:type="paragraph" w:customStyle="1" w:styleId="TAH">
    <w:name w:val="TAH"/>
    <w:basedOn w:val="TAC"/>
    <w:link w:val="TAHCar"/>
    <w:rsid w:val="00214B6F"/>
    <w:rPr>
      <w:b/>
    </w:rPr>
  </w:style>
  <w:style w:type="paragraph" w:customStyle="1" w:styleId="TAN">
    <w:name w:val="TAN"/>
    <w:basedOn w:val="TAL"/>
    <w:rsid w:val="00214B6F"/>
    <w:pPr>
      <w:ind w:left="851" w:hanging="851"/>
    </w:pPr>
  </w:style>
  <w:style w:type="paragraph" w:customStyle="1" w:styleId="TAR">
    <w:name w:val="TAR"/>
    <w:basedOn w:val="TAL"/>
    <w:rsid w:val="00214B6F"/>
    <w:pPr>
      <w:jc w:val="right"/>
    </w:pPr>
  </w:style>
  <w:style w:type="paragraph" w:customStyle="1" w:styleId="TH">
    <w:name w:val="TH"/>
    <w:basedOn w:val="Normal"/>
    <w:link w:val="THChar"/>
    <w:rsid w:val="00214B6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214B6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14B6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14B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14B6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14B6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14B6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14B6F"/>
  </w:style>
  <w:style w:type="paragraph" w:customStyle="1" w:styleId="ZH">
    <w:name w:val="ZH"/>
    <w:rsid w:val="00214B6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14B6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14B6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14B6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14B6F"/>
    <w:pPr>
      <w:framePr w:wrap="notBeside" w:y="16161"/>
    </w:pPr>
  </w:style>
  <w:style w:type="paragraph" w:customStyle="1" w:styleId="FP">
    <w:name w:val="FP"/>
    <w:basedOn w:val="Normal"/>
    <w:rsid w:val="00214B6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14B6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14B6F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214B6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14B6F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7728BA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7728BA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6A5D41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6A5D41"/>
    <w:rPr>
      <w:rFonts w:ascii="Arial" w:hAnsi="Arial"/>
      <w:b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14B6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tar/Shared%20Documents/3GPP/RAN2/RAN2_102-AH_Montreal/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5NUHHDQN7SK2-1476151046-32634</_dlc_DocId>
    <_dlc_DocIdUrl xmlns="f166a696-7b5b-4ccd-9f0c-ffde0cceec81">
      <Url>https://ericsson.sharepoint.com/sites/star/_layouts/15/DocIdRedir.aspx?ID=5NUHHDQN7SK2-1476151046-32634</Url>
      <Description>5NUHHDQN7SK2-1476151046-32634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9EDBB6-ECE0-4A7F-BBCF-CF799CCC3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2C543101-7969-40A0-85CF-66A1EA6CA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R2-180xxxx%20-%20Contribution%20Template.dotx</Template>
  <TotalTime>116</TotalTime>
  <Pages>3</Pages>
  <Words>1146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Ericsson; TDoc; 3GPP</cp:keywords>
  <cp:lastModifiedBy>Ericsson</cp:lastModifiedBy>
  <cp:revision>39</cp:revision>
  <cp:lastPrinted>2008-01-31T16:09:00Z</cp:lastPrinted>
  <dcterms:created xsi:type="dcterms:W3CDTF">2018-09-20T08:59:00Z</dcterms:created>
  <dcterms:modified xsi:type="dcterms:W3CDTF">2018-09-27T13:26:00Z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8fc4bc55-1f1d-4adb-a5a5-af151ac6f230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